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Дополнительное соглашение</w:t>
      </w:r>
    </w:p>
    <w:p w14:paraId="04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договору-оферте на оказание консультационных услуг</w:t>
      </w:r>
    </w:p>
    <w:p w14:paraId="05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06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 «____» _______________20___г.</w:t>
      </w:r>
    </w:p>
    <w:p w14:paraId="07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p w14:paraId="08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 w:firstLine="708" w:left="0" w:right="0"/>
        <w:jc w:val="left"/>
      </w:pPr>
      <w:r>
        <w:rPr>
          <w:rFonts w:ascii="Times New Roman" w:hAnsi="Times New Roman"/>
          <w:b w:val="1"/>
          <w:sz w:val="20"/>
        </w:rPr>
        <w:t>1.</w:t>
      </w:r>
      <w:r>
        <w:rPr>
          <w:rFonts w:ascii="Times New Roman" w:hAnsi="Times New Roman"/>
          <w:sz w:val="20"/>
        </w:rPr>
        <w:t xml:space="preserve"> Пользуясь правами, указанными в п.4.2.1 договора на оказание консультационных услуг</w:t>
      </w:r>
      <w:r>
        <w:rPr>
          <w:rFonts w:ascii="MS Mincho" w:hAnsi="MS Mincho"/>
          <w:sz w:val="20"/>
        </w:rPr>
        <w:br/>
      </w:r>
      <w:r>
        <w:rPr>
          <w:rFonts w:ascii="Times New Roman" w:hAnsi="Times New Roman"/>
          <w:sz w:val="20"/>
        </w:rPr>
        <w:t xml:space="preserve">от «____» _____________20___г. Стороны пришли к соглашению о том, что вместо Заказчика, консультации в соответствии с условиями вышеуказанного договора будет посещать </w:t>
      </w:r>
    </w:p>
    <w:p w14:paraId="09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p w14:paraId="0A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ФИО консультируемого ________________________________________________________________________________</w:t>
      </w:r>
    </w:p>
    <w:p w14:paraId="0B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p w14:paraId="0C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Согласно расписанию __________________________________________________________________________________</w:t>
      </w:r>
    </w:p>
    <w:p w14:paraId="0D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p w14:paraId="0E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Согласно абонементу на    (___________) </w:t>
      </w:r>
      <w:r>
        <w:rPr>
          <w:rFonts w:ascii="Times New Roman" w:hAnsi="Times New Roman"/>
          <w:sz w:val="20"/>
        </w:rPr>
        <w:t>часов</w:t>
      </w:r>
      <w:r>
        <w:rPr>
          <w:rFonts w:ascii="Times New Roman" w:hAnsi="Times New Roman"/>
          <w:sz w:val="20"/>
        </w:rPr>
        <w:t>.</w:t>
      </w:r>
    </w:p>
    <w:p w14:paraId="0F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p w14:paraId="10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Стоимостью  _________________ рублей  00 копеек  (Данное соглашение может автоматически продлеваться при покупки нового абонемента  выше указанной стоимости).</w:t>
      </w:r>
    </w:p>
    <w:p w14:paraId="11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p w14:paraId="12000000">
      <w:pPr>
        <w:pStyle w:val="Style_3"/>
        <w:numPr>
          <w:ilvl w:val="0"/>
          <w:numId w:val="0"/>
        </w:numPr>
      </w:pPr>
      <w:r>
        <w:rPr>
          <w:rFonts w:ascii="Times New Roman" w:hAnsi="Times New Roman"/>
          <w:b w:val="1"/>
          <w:color w:val="000000"/>
          <w:sz w:val="22"/>
        </w:rPr>
        <w:t xml:space="preserve">              2.</w:t>
      </w:r>
      <w:r>
        <w:rPr>
          <w:rFonts w:ascii="Times New Roman" w:hAnsi="Times New Roman"/>
          <w:b w:val="0"/>
          <w:color w:val="000000"/>
          <w:sz w:val="22"/>
        </w:rPr>
        <w:t xml:space="preserve">Стороны пришли к соглашению, что в соответствии с пунктом 5.1 договора на оказание консультационных услуг услуги Заказчика оплачиваются Исполнителем в порядке предоплаты, а также, что стоимость услуг определяется следующим образом: </w:t>
      </w:r>
    </w:p>
    <w:p w14:paraId="13000000">
      <w:pPr>
        <w:pStyle w:val="Style_3"/>
        <w:numPr>
          <w:ilvl w:val="0"/>
          <w:numId w:val="0"/>
        </w:numPr>
        <w:rPr>
          <w:sz w:val="22"/>
        </w:rPr>
      </w:pPr>
      <w:r>
        <w:rPr>
          <w:rFonts w:ascii="Arial" w:hAnsi="Arial"/>
          <w:b w:val="0"/>
          <w:strike w:val="0"/>
          <w:color w:val="000000"/>
          <w:sz w:val="22"/>
          <w:u w:val="none"/>
        </w:rPr>
        <w:t xml:space="preserve">● </w:t>
      </w:r>
      <w:r>
        <w:rPr>
          <w:rFonts w:ascii="Times New Roman" w:hAnsi="Times New Roman"/>
          <w:b w:val="0"/>
          <w:strike w:val="0"/>
          <w:color w:val="000000"/>
          <w:sz w:val="22"/>
          <w:u w:val="none"/>
        </w:rPr>
        <w:t xml:space="preserve">Абонемент на 8 часов – </w:t>
      </w:r>
      <w:r>
        <w:rPr>
          <w:rFonts w:ascii="Times New Roman" w:hAnsi="Times New Roman"/>
          <w:b w:val="0"/>
          <w:strike w:val="0"/>
          <w:color w:val="000000"/>
          <w:sz w:val="22"/>
          <w:u w:val="none"/>
        </w:rPr>
        <w:t>6 000</w:t>
      </w:r>
      <w:r>
        <w:rPr>
          <w:rFonts w:ascii="Times New Roman" w:hAnsi="Times New Roman"/>
          <w:b w:val="0"/>
          <w:strike w:val="0"/>
          <w:color w:val="000000"/>
          <w:sz w:val="22"/>
          <w:u w:val="none"/>
        </w:rPr>
        <w:t xml:space="preserve"> рублей; </w:t>
      </w:r>
    </w:p>
    <w:p w14:paraId="14000000">
      <w:pPr>
        <w:pStyle w:val="Style_3"/>
        <w:numPr>
          <w:ilvl w:val="0"/>
          <w:numId w:val="0"/>
        </w:numPr>
        <w:rPr>
          <w:sz w:val="22"/>
        </w:rPr>
      </w:pPr>
      <w:r>
        <w:rPr>
          <w:rFonts w:ascii="Arial" w:hAnsi="Arial"/>
          <w:b w:val="0"/>
          <w:strike w:val="0"/>
          <w:color w:val="000000"/>
          <w:sz w:val="22"/>
          <w:u w:val="none"/>
        </w:rPr>
        <w:t xml:space="preserve">● </w:t>
      </w:r>
      <w:r>
        <w:rPr>
          <w:rFonts w:ascii="Times New Roman" w:hAnsi="Times New Roman"/>
          <w:b w:val="0"/>
          <w:strike w:val="0"/>
          <w:color w:val="000000"/>
          <w:sz w:val="22"/>
          <w:u w:val="none"/>
        </w:rPr>
        <w:t xml:space="preserve">Абонемент на 12 часов – 7 </w:t>
      </w:r>
      <w:r>
        <w:rPr>
          <w:rFonts w:ascii="Times New Roman" w:hAnsi="Times New Roman"/>
          <w:b w:val="0"/>
          <w:strike w:val="0"/>
          <w:color w:val="000000"/>
          <w:sz w:val="22"/>
          <w:u w:val="none"/>
        </w:rPr>
        <w:t>800</w:t>
      </w:r>
      <w:r>
        <w:rPr>
          <w:rFonts w:ascii="Times New Roman" w:hAnsi="Times New Roman"/>
          <w:b w:val="0"/>
          <w:strike w:val="0"/>
          <w:color w:val="000000"/>
          <w:sz w:val="22"/>
          <w:u w:val="none"/>
        </w:rPr>
        <w:t xml:space="preserve"> рублей; </w:t>
      </w:r>
    </w:p>
    <w:p w14:paraId="15000000">
      <w:pPr>
        <w:pStyle w:val="Style_3"/>
        <w:numPr>
          <w:ilvl w:val="0"/>
          <w:numId w:val="0"/>
        </w:numPr>
        <w:rPr>
          <w:rFonts w:ascii="Arial" w:hAnsi="Arial"/>
          <w:b w:val="0"/>
          <w:strike w:val="0"/>
          <w:color w:val="000000"/>
          <w:sz w:val="22"/>
          <w:u w:val="none"/>
        </w:rPr>
      </w:pPr>
    </w:p>
    <w:p w14:paraId="16000000">
      <w:pPr>
        <w:pStyle w:val="Style_3"/>
        <w:numPr>
          <w:ilvl w:val="0"/>
          <w:numId w:val="0"/>
        </w:numPr>
        <w:rPr>
          <w:sz w:val="22"/>
        </w:rPr>
      </w:pPr>
      <w:r>
        <w:rPr>
          <w:rFonts w:ascii="Times New Roman" w:hAnsi="Times New Roman"/>
          <w:b w:val="0"/>
          <w:strike w:val="0"/>
          <w:color w:val="000000"/>
          <w:sz w:val="20"/>
          <w:u w:val="none"/>
        </w:rPr>
        <w:t xml:space="preserve">               </w:t>
      </w:r>
      <w:r>
        <w:rPr>
          <w:rFonts w:ascii="Times New Roman" w:hAnsi="Times New Roman"/>
          <w:b w:val="1"/>
          <w:strike w:val="0"/>
          <w:color w:val="000000"/>
          <w:sz w:val="22"/>
          <w:u w:val="none"/>
        </w:rPr>
        <w:t>3.</w:t>
      </w:r>
      <w:r>
        <w:rPr>
          <w:rFonts w:ascii="Times New Roman" w:hAnsi="Times New Roman"/>
          <w:b w:val="0"/>
          <w:strike w:val="0"/>
          <w:color w:val="000000"/>
          <w:sz w:val="22"/>
          <w:u w:val="none"/>
        </w:rPr>
        <w:t xml:space="preserve">Стороны пришли к соглашению, что абонемент рассчитан на 1 (один) календарный месяц. Действие абонемента заканчивается по истечении предоплаченного календарного месяца. </w:t>
      </w:r>
    </w:p>
    <w:p w14:paraId="17000000">
      <w:pPr>
        <w:pStyle w:val="Style_3"/>
        <w:numPr>
          <w:ilvl w:val="0"/>
          <w:numId w:val="0"/>
        </w:numPr>
        <w:rPr>
          <w:sz w:val="22"/>
        </w:rPr>
      </w:pPr>
    </w:p>
    <w:p w14:paraId="18000000">
      <w:pPr>
        <w:pStyle w:val="Style_3"/>
        <w:numPr>
          <w:ilvl w:val="0"/>
          <w:numId w:val="0"/>
        </w:numPr>
        <w:rPr>
          <w:sz w:val="22"/>
        </w:rPr>
      </w:pPr>
      <w:r>
        <w:rPr>
          <w:rFonts w:ascii="Times New Roman" w:hAnsi="Times New Roman"/>
          <w:b w:val="1"/>
          <w:strike w:val="0"/>
          <w:color w:val="000000"/>
          <w:sz w:val="22"/>
          <w:u w:val="none"/>
        </w:rPr>
        <w:t xml:space="preserve">              4.</w:t>
      </w:r>
      <w:r>
        <w:rPr>
          <w:rFonts w:ascii="Times New Roman" w:hAnsi="Times New Roman"/>
          <w:b w:val="0"/>
          <w:strike w:val="0"/>
          <w:color w:val="000000"/>
          <w:sz w:val="22"/>
          <w:u w:val="none"/>
        </w:rPr>
        <w:t xml:space="preserve">Стороны пришли к соглашению, что в соответствии с пунктом 5.7 договора на оказание консультационных услуг по данному заключенному договору допускается перерасчет пропущенных по причине болезни консультаций в следующем порядке: </w:t>
      </w:r>
    </w:p>
    <w:p w14:paraId="19000000">
      <w:pPr>
        <w:pStyle w:val="Style_3"/>
        <w:numPr>
          <w:ilvl w:val="0"/>
          <w:numId w:val="0"/>
        </w:numPr>
        <w:rPr>
          <w:rFonts w:ascii="Times New Roman" w:hAnsi="Times New Roman"/>
          <w:b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strike w:val="0"/>
          <w:color w:val="000000"/>
          <w:sz w:val="22"/>
          <w:u w:val="none"/>
        </w:rPr>
        <w:t xml:space="preserve">В случае пропуска Заказчиком либо консультируемым лицом, указанным в пункте 1 настоящего дополнительного соглашения, консультаций по причине болезни (представление медицинской справки с печатью и данными медицинского учреждения обязательно) возможен перерасчет пропущенных по причине болезни консультаций (занятий) на следующий месяц путем вычитания из стоимости абонемента в следующем месяце стоимости пропущенных по причине болезни консультаций (занятий) и доплатой Заказчиком стоимости остального количества консультаций (занятий), в соответствии с ценами на абонементы: </w:t>
      </w:r>
    </w:p>
    <w:p w14:paraId="1A000000">
      <w:pPr>
        <w:pStyle w:val="Style_3"/>
        <w:numPr>
          <w:ilvl w:val="0"/>
          <w:numId w:val="0"/>
        </w:numPr>
        <w:rPr>
          <w:rFonts w:ascii="Times New Roman" w:hAnsi="Times New Roman"/>
          <w:b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strike w:val="0"/>
          <w:color w:val="000000"/>
          <w:sz w:val="22"/>
          <w:u w:val="none"/>
        </w:rPr>
        <w:t xml:space="preserve">- до 11 часов считаются по абонементу на 8 часов 6000 р 00 коп., 750 р 00 коп. 1 час </w:t>
      </w:r>
    </w:p>
    <w:p w14:paraId="1B000000">
      <w:pPr>
        <w:pStyle w:val="Style_3"/>
        <w:numPr>
          <w:ilvl w:val="0"/>
          <w:numId w:val="0"/>
        </w:numPr>
        <w:rPr>
          <w:rFonts w:ascii="Times New Roman" w:hAnsi="Times New Roman"/>
          <w:b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strike w:val="0"/>
          <w:color w:val="000000"/>
          <w:sz w:val="22"/>
          <w:u w:val="none"/>
        </w:rPr>
        <w:t xml:space="preserve">- от 12 и более часов считаются по абонементу на 12 часов 7800 р 00 коп., 650 р 00 коп. 1 час или по безлимитному абонементу на месячное посещение любых занятий у любого преподавателя 9200 р 00 коп. </w:t>
      </w:r>
    </w:p>
    <w:p w14:paraId="1C000000">
      <w:pPr>
        <w:pStyle w:val="Style_3"/>
        <w:numPr>
          <w:ilvl w:val="0"/>
          <w:numId w:val="0"/>
        </w:numPr>
        <w:rPr>
          <w:rFonts w:ascii="Times New Roman" w:hAnsi="Times New Roman"/>
          <w:b w:val="1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1"/>
          <w:strike w:val="0"/>
          <w:color w:val="000000"/>
          <w:sz w:val="22"/>
          <w:u w:val="none"/>
        </w:rPr>
        <w:t xml:space="preserve">При этом перерасчет пропущенных консультаций по причине болезни возможен за срок пропуска не более чем две недели (14 календарных дней) и осуществляется только по заявлению Заказчика. </w:t>
      </w:r>
    </w:p>
    <w:p w14:paraId="1D000000">
      <w:pPr>
        <w:pStyle w:val="Style_3"/>
        <w:numPr>
          <w:ilvl w:val="0"/>
          <w:numId w:val="0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trike w:val="0"/>
          <w:color w:val="000000"/>
          <w:sz w:val="22"/>
          <w:u w:val="none"/>
        </w:rPr>
        <w:t xml:space="preserve">Исполнитель вправе произвести перерасчет пропущенных консультаций по причине болезни только один раз за календарный месяц. При этом Стороны вправе согласовать иные случаи, при которых возможен перерасчет за пропущенные консультации. </w:t>
      </w:r>
    </w:p>
    <w:p w14:paraId="1E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p w14:paraId="1F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both"/>
      </w:pPr>
    </w:p>
    <w:tbl>
      <w:tblPr>
        <w:tblW w:type="auto" w:w="0"/>
        <w:jc w:val="left"/>
        <w:tblInd w:type="dxa" w:w="0"/>
        <w:tblLayout w:type="fixed"/>
      </w:tblPr>
      <w:tblGrid>
        <w:gridCol w:w="4174"/>
        <w:gridCol w:w="6032"/>
      </w:tblGrid>
      <w:tr>
        <w:trPr>
          <w:trHeight w:hRule="atLeast" w:val="3742"/>
        </w:trPr>
        <w:tc>
          <w:tcPr>
            <w:tcW w:type="dxa" w:w="4174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 w:line="276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ИП Мишенков Кирилл Вадимович</w:t>
            </w:r>
          </w:p>
          <w:p w14:paraId="21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/>
              <w:ind/>
            </w:pPr>
            <w:r>
              <w:rPr>
                <w:rFonts w:ascii="Times New Roman" w:hAnsi="Times New Roman"/>
                <w:sz w:val="24"/>
              </w:rPr>
              <w:t>ИНН:</w:t>
            </w:r>
            <w:r>
              <w:rPr>
                <w:rFonts w:ascii="Georgia" w:hAnsi="Georgia"/>
                <w:sz w:val="1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780716911847</w:t>
            </w:r>
          </w:p>
          <w:p w14:paraId="22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ОГРНИП 319784700342892</w:t>
            </w:r>
          </w:p>
          <w:p w14:paraId="23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ОКАТО 40270000000</w:t>
            </w:r>
          </w:p>
          <w:p w14:paraId="24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Р/С 40802810555000054542 в С-З Сбербанк РФ</w:t>
            </w:r>
          </w:p>
          <w:p w14:paraId="25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К/С 30101810500000000653</w:t>
            </w:r>
          </w:p>
          <w:p w14:paraId="26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БИК 044030653</w:t>
            </w:r>
          </w:p>
          <w:p w14:paraId="27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  <w:p w14:paraId="28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 w:line="240" w:lineRule="auto"/>
              <w:ind w:firstLine="0" w:left="0" w:right="737"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032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Заказчик ФИО:</w:t>
            </w:r>
          </w:p>
          <w:p w14:paraId="2A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Паспорт: серия              №                     </w:t>
            </w:r>
          </w:p>
          <w:p w14:paraId="2B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выдан:</w:t>
            </w:r>
          </w:p>
          <w:p w14:paraId="2C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выдачи: _______________ код подразделения: _____________</w:t>
            </w:r>
          </w:p>
          <w:p w14:paraId="2D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 рождения:  __________________________________________</w:t>
            </w:r>
          </w:p>
          <w:p w14:paraId="2E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рождения:  _____________________</w:t>
            </w:r>
          </w:p>
          <w:p w14:paraId="2F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регистрации: __________________________________________________________</w:t>
            </w:r>
          </w:p>
          <w:p w14:paraId="30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Фактический адрес: __________________________________________________________</w:t>
            </w:r>
          </w:p>
          <w:p w14:paraId="31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Тел. __________________________________________________________</w:t>
            </w:r>
          </w:p>
          <w:p w14:paraId="32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 w:line="240" w:lineRule="auto"/>
              <w:ind/>
            </w:pP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mail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</w:p>
          <w:p w14:paraId="33000000">
            <w:pPr>
              <w:pStyle w:val="Style_2"/>
              <w:widowControl w:val="1"/>
              <w:pBdr>
                <w:top w:space="0" w:sz="4" w:val="nil"/>
                <w:left w:space="0" w:sz="4" w:val="nil"/>
                <w:bottom w:space="0" w:sz="4" w:val="nil"/>
                <w:right w:space="0" w:sz="4" w:val="nil"/>
              </w:pBdr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__________________________________________________________</w:t>
            </w:r>
          </w:p>
        </w:tc>
      </w:tr>
    </w:tbl>
    <w:p w14:paraId="34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both"/>
      </w:pPr>
    </w:p>
    <w:p w14:paraId="35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both"/>
      </w:pPr>
    </w:p>
    <w:p w14:paraId="36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both"/>
      </w:pPr>
      <w:r>
        <w:rPr>
          <w:rFonts w:ascii="Times New Roman" w:hAnsi="Times New Roman"/>
          <w:sz w:val="20"/>
        </w:rPr>
        <w:t xml:space="preserve">Исполнитель _______________ / </w:t>
      </w:r>
      <w:r>
        <w:rPr>
          <w:rFonts w:ascii="Times New Roman" w:hAnsi="Times New Roman"/>
          <w:sz w:val="20"/>
          <w:u w:color="000000" w:val="single"/>
        </w:rPr>
        <w:t>Мишенков К.В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Заказчик </w:t>
      </w:r>
      <w:r>
        <w:rPr>
          <w:rFonts w:ascii="Times New Roman" w:hAnsi="Times New Roman"/>
          <w:sz w:val="20"/>
        </w:rPr>
        <w:t>________________ / _________________</w:t>
      </w:r>
    </w:p>
    <w:p w14:paraId="37000000">
      <w:pPr>
        <w:pStyle w:val="Style_2"/>
        <w:widowControl w:val="0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rPr>
          <w:rFonts w:ascii="Times New Roman" w:hAnsi="Times New Roman"/>
          <w:sz w:val="20"/>
        </w:rPr>
      </w:pPr>
    </w:p>
    <w:p w14:paraId="38000000">
      <w:pPr>
        <w:pStyle w:val="Style_2"/>
        <w:widowControl w:val="0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rPr>
          <w:rFonts w:ascii="Times New Roman" w:hAnsi="Times New Roman"/>
          <w:sz w:val="20"/>
        </w:rPr>
      </w:pPr>
    </w:p>
    <w:p w14:paraId="39000000">
      <w:pPr>
        <w:pStyle w:val="Style_2"/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spacing w:after="0" w:before="0" w:line="240" w:lineRule="auto"/>
        <w:ind/>
        <w:jc w:val="both"/>
      </w:pPr>
    </w:p>
    <w:sectPr>
      <w:headerReference r:id="rId1" w:type="default"/>
      <w:footerReference r:id="rId2" w:type="default"/>
      <w:pgSz w:h="16838" w:orient="portrait" w:w="11906"/>
      <w:pgMar w:bottom="120" w:footer="52" w:header="0" w:left="477" w:right="384" w:top="30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pBdr>
        <w:top w:space="0" w:sz="4" w:val="nil"/>
        <w:left w:space="0" w:sz="4" w:val="nil"/>
        <w:bottom w:space="0" w:sz="4" w:val="nil"/>
        <w:right w:space="0" w:sz="4" w:val="nil"/>
      </w:pBdr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pBdr>
        <w:top w:space="0" w:sz="4" w:val="nil"/>
        <w:left w:space="0" w:sz="4" w:val="nil"/>
        <w:bottom w:space="0" w:sz="4" w:val="nil"/>
        <w:right w:space="0" w:sz="4" w:val="nil"/>
      </w:pBdr>
      <w:ind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pBdr>
        <w:top w:space="31" w:sz="4" w:val="nil"/>
        <w:left w:space="31" w:sz="4" w:val="nil"/>
        <w:bottom w:space="31" w:sz="4" w:val="nil"/>
        <w:right w:space="31" w:sz="4" w:val="nil"/>
      </w:pBdr>
      <w:spacing w:after="160" w:before="0" w:line="259" w:lineRule="auto"/>
      <w:ind/>
    </w:pPr>
    <w:rPr>
      <w:rFonts w:ascii="Calibri" w:hAnsi="Calibri"/>
      <w:color w:val="000000"/>
      <w:sz w:val="22"/>
      <w:u w:val="none"/>
    </w:rPr>
  </w:style>
  <w:style w:default="1" w:styleId="Style_2_ch" w:type="character">
    <w:name w:val="Normal"/>
    <w:link w:val="Style_2"/>
    <w:rPr>
      <w:rFonts w:ascii="Calibri" w:hAnsi="Calibri"/>
      <w:color w:val="000000"/>
      <w:sz w:val="22"/>
      <w:u w:val="none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3" w:type="paragraph">
    <w:name w:val="Default"/>
    <w:basedOn w:val="Style_2"/>
    <w:next w:val="Style_2"/>
    <w:link w:val="Style_3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</w:pBdr>
      <w:spacing w:after="0" w:before="0" w:line="240" w:lineRule="auto"/>
      <w:ind/>
      <w:jc w:val="left"/>
    </w:pPr>
    <w:rPr>
      <w:rFonts w:ascii="Times New Roman" w:hAnsi="Times New Roman"/>
      <w:sz w:val="24"/>
      <w:u w:val="none"/>
    </w:rPr>
  </w:style>
  <w:style w:styleId="Style_3_ch" w:type="character">
    <w:name w:val="Default"/>
    <w:basedOn w:val="Style_2_ch"/>
    <w:link w:val="Style_3"/>
    <w:rPr>
      <w:rFonts w:ascii="Times New Roman" w:hAnsi="Times New Roman"/>
      <w:sz w:val="24"/>
      <w:u w:val="none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Heading"/>
    <w:basedOn w:val="Style_2"/>
    <w:next w:val="Style_2"/>
    <w:link w:val="Style_11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11_ch" w:type="character">
    <w:name w:val="Heading"/>
    <w:basedOn w:val="Style_2_ch"/>
    <w:link w:val="Style_11"/>
    <w:rPr>
      <w:rFonts w:ascii="Arial" w:hAnsi="Arial"/>
      <w:sz w:val="28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Колонтитулы"/>
    <w:link w:val="Style_1_ch"/>
    <w:pPr>
      <w:widowControl w:val="1"/>
      <w:pBdr>
        <w:top w:space="31" w:sz="4" w:val="nil"/>
        <w:left w:space="31" w:sz="4" w:val="nil"/>
        <w:bottom w:space="31" w:sz="4" w:val="nil"/>
        <w:right w:space="31" w:sz="4" w:val="nil"/>
      </w:pBdr>
      <w:tabs>
        <w:tab w:leader="none" w:pos="9020" w:val="right"/>
      </w:tabs>
      <w:ind/>
    </w:pPr>
    <w:rPr>
      <w:rFonts w:ascii="Helvetica Neue" w:hAnsi="Helvetica Neue"/>
      <w:color w:val="000000"/>
      <w:sz w:val="24"/>
    </w:rPr>
  </w:style>
  <w:style w:styleId="Style_1_ch" w:type="character">
    <w:name w:val="Колонтитулы"/>
    <w:link w:val="Style_1"/>
    <w:rPr>
      <w:rFonts w:ascii="Helvetica Neue" w:hAnsi="Helvetica Neue"/>
      <w:color w:val="000000"/>
      <w:sz w:val="24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8"/>
    <w:next w:val="Style_8"/>
    <w:link w:val="Style_15_ch"/>
    <w:rPr>
      <w:color w:val="000080"/>
      <w:u w:color="000080" w:val="single"/>
    </w:rPr>
  </w:style>
  <w:style w:styleId="Style_15_ch" w:type="character">
    <w:name w:val="Hyperlink"/>
    <w:basedOn w:val="Style_8_ch"/>
    <w:link w:val="Style_15"/>
    <w:rPr>
      <w:color w:val="000080"/>
      <w:u w:color="000080"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ext body"/>
    <w:basedOn w:val="Style_2"/>
    <w:next w:val="Style_2"/>
    <w:link w:val="Style_19_ch"/>
    <w:pPr>
      <w:widowControl w:val="1"/>
      <w:spacing w:after="120" w:before="0"/>
      <w:ind/>
    </w:pPr>
  </w:style>
  <w:style w:styleId="Style_19_ch" w:type="character">
    <w:name w:val="Text body"/>
    <w:basedOn w:val="Style_2_ch"/>
    <w:link w:val="Style_19"/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Header"/>
    <w:basedOn w:val="Style_2"/>
    <w:next w:val="Style_2"/>
    <w:link w:val="Style_21_ch"/>
    <w:pPr>
      <w:widowControl w:val="1"/>
      <w:tabs>
        <w:tab w:leader="none" w:pos="4819" w:val="center"/>
        <w:tab w:leader="none" w:pos="9638" w:val="right"/>
      </w:tabs>
      <w:ind/>
    </w:pPr>
  </w:style>
  <w:style w:styleId="Style_21_ch" w:type="character">
    <w:name w:val="Header"/>
    <w:basedOn w:val="Style_2_ch"/>
    <w:link w:val="Style_21"/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aption"/>
    <w:basedOn w:val="Style_2"/>
    <w:next w:val="Style_2"/>
    <w:link w:val="Style_23_ch"/>
    <w:pPr>
      <w:widowControl w:val="1"/>
      <w:spacing w:after="120" w:before="120"/>
      <w:ind/>
    </w:pPr>
    <w:rPr>
      <w:i w:val="1"/>
      <w:sz w:val="24"/>
    </w:rPr>
  </w:style>
  <w:style w:styleId="Style_23_ch" w:type="character">
    <w:name w:val="Caption"/>
    <w:basedOn w:val="Style_2_ch"/>
    <w:link w:val="Style_23"/>
    <w:rPr>
      <w:i w:val="1"/>
      <w:sz w:val="24"/>
    </w:rPr>
  </w:style>
  <w:style w:styleId="Style_24" w:type="paragraph">
    <w:name w:val="Numbering Symbols"/>
    <w:link w:val="Style_24_ch"/>
  </w:style>
  <w:style w:styleId="Style_24_ch" w:type="character">
    <w:name w:val="Numbering Symbols"/>
    <w:link w:val="Style_24"/>
  </w:style>
  <w:style w:styleId="Style_25" w:type="paragraph">
    <w:name w:val="Footer"/>
    <w:basedOn w:val="Style_2"/>
    <w:next w:val="Style_2"/>
    <w:link w:val="Style_25_ch"/>
    <w:pPr>
      <w:widowControl w:val="1"/>
      <w:tabs>
        <w:tab w:leader="none" w:pos="4819" w:val="center"/>
        <w:tab w:leader="none" w:pos="9638" w:val="right"/>
      </w:tabs>
      <w:ind/>
    </w:pPr>
  </w:style>
  <w:style w:styleId="Style_25_ch" w:type="character">
    <w:name w:val="Footer"/>
    <w:basedOn w:val="Style_2_ch"/>
    <w:link w:val="Style_25"/>
  </w:style>
  <w:style w:styleId="Style_26" w:type="paragraph">
    <w:name w:val="Hyperlink.0"/>
    <w:basedOn w:val="Style_15"/>
    <w:next w:val="Style_15"/>
    <w:link w:val="Style_26_ch"/>
    <w:rPr>
      <w:color w:val="0000FF"/>
      <w:u w:color="000000" w:val="single"/>
    </w:rPr>
  </w:style>
  <w:style w:styleId="Style_26_ch" w:type="character">
    <w:name w:val="Hyperlink.0"/>
    <w:basedOn w:val="Style_15_ch"/>
    <w:link w:val="Style_26"/>
    <w:rPr>
      <w:color w:val="0000FF"/>
      <w:u w:color="000000" w:val="single"/>
    </w:rPr>
  </w:style>
  <w:style w:styleId="Style_27" w:type="paragraph">
    <w:name w:val="Index"/>
    <w:basedOn w:val="Style_2"/>
    <w:next w:val="Style_2"/>
    <w:link w:val="Style_27_ch"/>
  </w:style>
  <w:style w:styleId="Style_27_ch" w:type="character">
    <w:name w:val="Index"/>
    <w:basedOn w:val="Style_2_ch"/>
    <w:link w:val="Style_27"/>
  </w:style>
  <w:style w:styleId="Style_28" w:type="paragraph">
    <w:name w:val="toc 5"/>
    <w:next w:val="Style_2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2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List"/>
    <w:basedOn w:val="Style_19"/>
    <w:next w:val="Style_19"/>
    <w:link w:val="Style_30_ch"/>
  </w:style>
  <w:style w:styleId="Style_30_ch" w:type="character">
    <w:name w:val="List"/>
    <w:basedOn w:val="Style_19_ch"/>
    <w:link w:val="Style_30"/>
  </w:style>
  <w:style w:styleId="Style_31" w:type="paragraph">
    <w:name w:val="Table Contents"/>
    <w:basedOn w:val="Style_2"/>
    <w:next w:val="Style_2"/>
    <w:link w:val="Style_31_ch"/>
  </w:style>
  <w:style w:styleId="Style_31_ch" w:type="character">
    <w:name w:val="Table Contents"/>
    <w:basedOn w:val="Style_2_ch"/>
    <w:link w:val="Style_31"/>
  </w:style>
  <w:style w:styleId="Style_32" w:type="paragraph">
    <w:name w:val="Table Heading"/>
    <w:basedOn w:val="Style_31"/>
    <w:next w:val="Style_31"/>
    <w:link w:val="Style_32_ch"/>
    <w:pPr>
      <w:widowControl w:val="1"/>
      <w:ind/>
      <w:jc w:val="center"/>
    </w:pPr>
    <w:rPr>
      <w:b w:val="1"/>
    </w:rPr>
  </w:style>
  <w:style w:styleId="Style_32_ch" w:type="character">
    <w:name w:val="Table Heading"/>
    <w:basedOn w:val="Style_31_ch"/>
    <w:link w:val="Style_32"/>
    <w:rPr>
      <w:b w:val="1"/>
    </w:rPr>
  </w:style>
  <w:style w:styleId="Style_33" w:type="paragraph">
    <w:name w:val="Title"/>
    <w:next w:val="Style_2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2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2023-09-01T06:14:00Z</dcterms:created>
  <dcterms:modified xsi:type="dcterms:W3CDTF">2025-08-24T21:47:57Z</dcterms:modified>
</cp:coreProperties>
</file>